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פתוחות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בירור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פוקו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הפילוסופיה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ההסטוריה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יניב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תורת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הכיאוס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תפישות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פסיכולוגיות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קוגנטיביות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CIA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הפסיכולוגיה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פירוש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התעלמות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האנתרופולוגיה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שנקרא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צופה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משתתף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סאליבן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פסיכולוג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פרוייד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לפסיכולוגיה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?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המתודולוגיות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אנטרופולוגי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?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אתגור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מישהו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) ?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נמנעים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שמבוצעת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מצליחה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מכשלונות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קונספטואלים</w:t>
      </w:r>
      <w:r w:rsidDel="00000000" w:rsidR="00000000" w:rsidRPr="00000000">
        <w:rPr>
          <w:rtl w:val="1"/>
        </w:rPr>
        <w:t xml:space="preserve"> ?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טקסטים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ללימוד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ניתוח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lineRule="auto"/>
        <w:rPr/>
      </w:pPr>
      <w:r w:rsidDel="00000000" w:rsidR="00000000" w:rsidRPr="00000000">
        <w:rPr>
          <w:rtl w:val="1"/>
        </w:rPr>
        <w:t xml:space="preserve">הדו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האמריקאי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-11 </w:t>
      </w:r>
      <w:r w:rsidDel="00000000" w:rsidR="00000000" w:rsidRPr="00000000">
        <w:rPr>
          <w:rtl w:val="1"/>
        </w:rPr>
        <w:t xml:space="preserve">בספטמבר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סוגיות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מבניות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-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ארגוניות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מוסד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שב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הנוכחית</w:t>
      </w:r>
      <w:r w:rsidDel="00000000" w:rsidR="00000000" w:rsidRPr="00000000">
        <w:rPr>
          <w:rtl w:val="1"/>
        </w:rPr>
        <w:t xml:space="preserve"> 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בפורום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hyperlink r:id="rId6">
        <w:r w:rsidDel="00000000" w:rsidR="00000000" w:rsidRPr="00000000">
          <w:rPr>
            <w:color w:val="0000ee"/>
            <w:u w:val="single"/>
            <w:rtl w:val="1"/>
          </w:rPr>
          <w:t xml:space="preserve">טקסטים</w:t>
        </w:r>
      </w:hyperlink>
      <w:hyperlink r:id="rId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0000ee"/>
            <w:u w:val="single"/>
            <w:rtl w:val="1"/>
          </w:rPr>
          <w:t xml:space="preserve">ומצגות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לדף</w:t>
      </w:r>
      <w:r w:rsidDel="00000000" w:rsidR="00000000" w:rsidRPr="00000000">
        <w:rPr>
          <w:rtl w:val="1"/>
        </w:rPr>
        <w:t xml:space="preserve"> </w:t>
      </w:r>
      <w:hyperlink r:id="rId9">
        <w:r w:rsidDel="00000000" w:rsidR="00000000" w:rsidRPr="00000000">
          <w:rPr>
            <w:color w:val="0000ee"/>
            <w:u w:val="single"/>
            <w:rtl w:val="1"/>
          </w:rPr>
          <w:t xml:space="preserve">המקהל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bidi w:val="1"/>
      <w:jc w:val="center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1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23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ageBreakBefore w:val="0"/>
      <w:bidi w:val="1"/>
      <w:jc w:val="center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</w:rPr>
            <w:drawing>
              <wp:inline distB="19050" distT="19050" distL="19050" distR="19050">
                <wp:extent cx="533400" cy="5715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ee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  <w:rtl w:val="1"/>
            </w:rPr>
            <w:t xml:space="preserve">מתנ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"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ה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–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מארז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תכנון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,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ניהול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והיערכות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 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תשפ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"</w:t>
          </w:r>
          <w:r w:rsidDel="00000000" w:rsidR="00000000" w:rsidRPr="00000000">
            <w:rPr>
              <w:color w:val="0000ee"/>
              <w:u w:val="single"/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>
              <w:color w:val="0000ee"/>
              <w:u w:val="single"/>
            </w:rPr>
          </w:pPr>
          <w:r w:rsidDel="00000000" w:rsidR="00000000" w:rsidRPr="00000000">
            <w:rPr>
              <w:color w:val="0000ee"/>
              <w:u w:val="single"/>
            </w:rPr>
            <w:drawing>
              <wp:inline distB="19050" distT="19050" distL="19050" distR="19050">
                <wp:extent cx="584200" cy="698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ee"/>
        <w:sz w:val="2"/>
        <w:szCs w:val="2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mikhal.doalogue.co.il/%D7%94%D7%9E%D7%A7%D7%94%D7%9C" TargetMode="External"/><Relationship Id="rId5" Type="http://schemas.openxmlformats.org/officeDocument/2006/relationships/styles" Target="styles.xml"/><Relationship Id="rId6" Type="http://schemas.openxmlformats.org/officeDocument/2006/relationships/hyperlink" Target="https://mikhal.doalogue.co.il/%D7%98%D7%A7%D7%A1%D7%98%D7%99%D7%9D_%D7%95%D7%9E%D7%A6%D7%92%D7%95%D7%AA" TargetMode="External"/><Relationship Id="rId7" Type="http://schemas.openxmlformats.org/officeDocument/2006/relationships/hyperlink" Target="https://mikhal.doalogue.co.il/%D7%98%D7%A7%D7%A1%D7%98%D7%99%D7%9D_%D7%95%D7%9E%D7%A6%D7%92%D7%95%D7%AA" TargetMode="External"/><Relationship Id="rId8" Type="http://schemas.openxmlformats.org/officeDocument/2006/relationships/hyperlink" Target="https://mikhal.doalogue.co.il/%D7%98%D7%A7%D7%A1%D7%98%D7%99%D7%9D_%D7%95%D7%9E%D7%A6%D7%92%D7%95%D7%A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